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410"/>
        </w:tabs>
        <w:spacing w:after="0" w:before="0" w:line="240" w:lineRule="auto"/>
        <w:ind w:left="0" w:right="283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Обзор значимых изменений в законодательстве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83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(11 октября 2024 – 17 октября 2024 года)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83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bookmarkStart w:colFirst="0" w:colLast="0" w:name="gjdgxs" w:id="0"/>
    <w:bookmarkEnd w:id="0"/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83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ФЕДЕРАЛЬНЫЕ ДОКУМЕНТЫ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83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83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Утверждены новые показатели эффективности для образовательных учреждений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83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С 1 января 2025 года бюджетные и автономные учреждения, подведомственные Минобрнауки, должны применять новые показатели эффективности деятельности. От них зависят стимулирующие выплаты руководителей. Среди новшеств можно выделить такие: - будет иметь значение, соблюдены ли сроки и порядок представления плана ФХД. Показатель вводят для колледжей и техникумов, дошкольных учреждений, учреждений здравоохранения и др.; - в научных учреждениях обратят внимание на число полученных патентов или зарегистрированных результатов интеллектуальной деятельности; - в учреждениях здравоохранения оценят, есть ли рост средней зарплаты по сравнению с аналогичным отчетным периодом предшествующего года, который превышает уровень инфляции; - для многих показателей изменится отчетный период.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83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Источник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: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Официальный интернет-портал правовой информации </w:t>
      </w:r>
      <w:hyperlink r:id="rId6">
        <w:r w:rsidDel="00000000" w:rsidR="00000000" w:rsidRPr="00000000">
          <w:rPr>
            <w:rFonts w:ascii="Times New Roman" w:cs="Times New Roman" w:eastAsia="Times New Roman" w:hAnsi="Times New Roman"/>
            <w:b w:val="0"/>
            <w:i w:val="0"/>
            <w:smallCaps w:val="0"/>
            <w:strike w:val="0"/>
            <w:color w:val="000000"/>
            <w:sz w:val="24"/>
            <w:szCs w:val="24"/>
            <w:u w:val="none"/>
            <w:shd w:fill="auto" w:val="clear"/>
            <w:vertAlign w:val="baseline"/>
            <w:rtl w:val="0"/>
          </w:rPr>
          <w:t xml:space="preserve">http://pravo.gov.ru</w:t>
        </w:r>
      </w:hyperlink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09.10.2024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83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hyperlink r:id="rId7">
        <w:r w:rsidDel="00000000" w:rsidR="00000000" w:rsidRPr="00000000">
          <w:rPr>
            <w:rFonts w:ascii="Times New Roman" w:cs="Times New Roman" w:eastAsia="Times New Roman" w:hAnsi="Times New Roman"/>
            <w:b w:val="0"/>
            <w:i w:val="0"/>
            <w:smallCaps w:val="0"/>
            <w:strike w:val="0"/>
            <w:color w:val="000000"/>
            <w:sz w:val="24"/>
            <w:szCs w:val="24"/>
            <w:u w:val="single"/>
            <w:shd w:fill="auto" w:val="clear"/>
            <w:vertAlign w:val="baseline"/>
            <w:rtl w:val="0"/>
          </w:rPr>
          <w:t xml:space="preserve">Приказ Минобрнауки России от 19.07.2024 N 481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Пожарная безопасность: свод правил по эвакуационным выходам и путям обновится 1 ноября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МЧС скорректировало СП 1.13130.2020 "Системы противопожарной защиты. Эвакуационные пути и выходы". Изменения среди прочего касаются норм о параметрах и числе эвакуационных выходов. Решать, какие выходы могут служить эвакуационными, потребуется исходя из новых правил.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Источник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: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документ опубликован не был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hyperlink r:id="rId8">
        <w:r w:rsidDel="00000000" w:rsidR="00000000" w:rsidRPr="00000000">
          <w:rPr>
            <w:rFonts w:ascii="Times New Roman" w:cs="Times New Roman" w:eastAsia="Times New Roman" w:hAnsi="Times New Roman"/>
            <w:b w:val="0"/>
            <w:i w:val="0"/>
            <w:smallCaps w:val="0"/>
            <w:strike w:val="0"/>
            <w:color w:val="000000"/>
            <w:sz w:val="24"/>
            <w:szCs w:val="24"/>
            <w:u w:val="single"/>
            <w:shd w:fill="auto" w:val="clear"/>
            <w:vertAlign w:val="baseline"/>
            <w:rtl w:val="0"/>
          </w:rPr>
          <w:t xml:space="preserve">Приказ МЧС России от 21.08.2024 N 681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Отчетность учреждений за 9 месяцев: обновлены контрольные соотношения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Ведомство опубликовало на сайте скорректированные контрольные соотношения. Среди новшеств можно выделить такие: - в графе 8 отчета об исполнении плана ФХД (ф. 0503737) разрешили отражать некассовые операции. Однако по ним нужно дать пояснения; - показатели по счету 209 89 в сведениях по дебиторской и кредиторской задолженности (ф. 0503169) также нужно пояснить.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Источник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: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документ опубликован не был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hyperlink r:id="rId9">
        <w:r w:rsidDel="00000000" w:rsidR="00000000" w:rsidRPr="00000000">
          <w:rPr>
            <w:rFonts w:ascii="Times New Roman" w:cs="Times New Roman" w:eastAsia="Times New Roman" w:hAnsi="Times New Roman"/>
            <w:b w:val="0"/>
            <w:i w:val="0"/>
            <w:smallCaps w:val="0"/>
            <w:strike w:val="0"/>
            <w:color w:val="000000"/>
            <w:sz w:val="24"/>
            <w:szCs w:val="24"/>
            <w:u w:val="single"/>
            <w:shd w:fill="auto" w:val="clear"/>
            <w:vertAlign w:val="baseline"/>
            <w:rtl w:val="0"/>
          </w:rPr>
          <w:t xml:space="preserve">Контрольные соотношения к показателям бухотчетности бюджетных и автономных учреждений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12529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 договоре с сотрудником филиала надо указать населенный пункт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Ведомство разъяснило нюанс приема на работу сотрудника в обособленное структурное подразделение, которое находится не в той же местности, что и сама организация. В этом случае в трудовом договоре специалиста следует указать в качестве места работы населенный пункт (муниципальное образование), где расположено подразделение.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Источник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: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документ опубликован не был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hyperlink r:id="rId10">
        <w:r w:rsidDel="00000000" w:rsidR="00000000" w:rsidRPr="00000000">
          <w:rPr>
            <w:rFonts w:ascii="Times New Roman" w:cs="Times New Roman" w:eastAsia="Times New Roman" w:hAnsi="Times New Roman"/>
            <w:b w:val="0"/>
            <w:i w:val="0"/>
            <w:smallCaps w:val="0"/>
            <w:strike w:val="0"/>
            <w:color w:val="000000"/>
            <w:sz w:val="24"/>
            <w:szCs w:val="24"/>
            <w:u w:val="single"/>
            <w:shd w:fill="auto" w:val="clear"/>
            <w:vertAlign w:val="baseline"/>
            <w:rtl w:val="0"/>
          </w:rPr>
          <w:t xml:space="preserve">Письмо Роструда от 19.08.2024 N ПГ/17232-6-1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12529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12529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212529"/>
          <w:sz w:val="24"/>
          <w:szCs w:val="24"/>
          <w:u w:val="none"/>
          <w:shd w:fill="auto" w:val="clear"/>
          <w:vertAlign w:val="baseline"/>
          <w:rtl w:val="0"/>
        </w:rPr>
        <w:t xml:space="preserve">Отпуск по уходу за ребенком нельзя продлить до достижения им 4,5 лет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Ведомство разъяснило: максимальный срок отпуска по уходу за ребенком – до достижения им возраста 3 лет. Продление закон не предусматривает, поэтому если сотрудник просит о нем, то организация вправе отказать. Чтобы работник ухаживал за ребенком дольше, ему можно предоставить другие виды отпуска на основании колдоговора.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Источник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: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документ опубликован не был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hyperlink r:id="rId11">
        <w:r w:rsidDel="00000000" w:rsidR="00000000" w:rsidRPr="00000000">
          <w:rPr>
            <w:rFonts w:ascii="Times New Roman" w:cs="Times New Roman" w:eastAsia="Times New Roman" w:hAnsi="Times New Roman"/>
            <w:b w:val="0"/>
            <w:i w:val="0"/>
            <w:smallCaps w:val="0"/>
            <w:strike w:val="0"/>
            <w:color w:val="000000"/>
            <w:sz w:val="24"/>
            <w:szCs w:val="24"/>
            <w:u w:val="single"/>
            <w:shd w:fill="auto" w:val="clear"/>
            <w:vertAlign w:val="baseline"/>
            <w:rtl w:val="0"/>
          </w:rPr>
          <w:t xml:space="preserve">Письмо Минтруда России от 13.08.2024 N 14-6/ООГ-4858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Правовой отдел областной организации Профсоюза</w:t>
      </w:r>
    </w:p>
    <w:sectPr>
      <w:pgSz w:h="16838" w:w="11906" w:orient="portrait"/>
      <w:pgMar w:bottom="426" w:top="426" w:left="1134" w:right="851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ru-RU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hyperlink" Target="https://login.consultant.ru/link/?req=doc&amp;base=QUEST&amp;n=225572&amp;dst=100004,1" TargetMode="External"/><Relationship Id="rId10" Type="http://schemas.openxmlformats.org/officeDocument/2006/relationships/hyperlink" Target="https://login.consultant.ru/link/?req=doc&amp;base=QUEST&amp;n=225877&amp;dst=100004,1" TargetMode="External"/><Relationship Id="rId9" Type="http://schemas.openxmlformats.org/officeDocument/2006/relationships/hyperlink" Target="https://login.consultant.ru/link/?req=doc&amp;base=LAW&amp;n=487715&amp;dst=100001,2" TargetMode="External"/><Relationship Id="rId5" Type="http://schemas.openxmlformats.org/officeDocument/2006/relationships/styles" Target="styles.xml"/><Relationship Id="rId6" Type="http://schemas.openxmlformats.org/officeDocument/2006/relationships/hyperlink" Target="http://pravo.gov.ru" TargetMode="External"/><Relationship Id="rId7" Type="http://schemas.openxmlformats.org/officeDocument/2006/relationships/hyperlink" Target="https://login.consultant.ru/link/?req=doc&amp;base=LAW&amp;n=487868&amp;dst=100004" TargetMode="External"/><Relationship Id="rId8" Type="http://schemas.openxmlformats.org/officeDocument/2006/relationships/hyperlink" Target="https://login.consultant.ru/link/?req=doc&amp;base=LAW&amp;n=487576&amp;dst=100001%2C1&amp;date=18.10.202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