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ТИПОВЫЕ ВОПРОСЫ И ОТВЕТЫ В ЧАСТИ ОПЛАТЫ ТРУДА РАБОТНИКОВ УЧРЕЖДЕНИЙ ОБРАЗОВАНИЯ</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1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Как определяется фонд оплаты труда учреждения?</w:t>
      </w:r>
    </w:p>
    <w:p w:rsidR="00000000" w:rsidDel="00000000" w:rsidP="00000000" w:rsidRDefault="00000000" w:rsidRPr="00000000" w14:paraId="00000003">
      <w:pPr>
        <w:ind w:left="5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Фонд оплаты труда учреждения формируется по подушевому нормативу (то есть «стоимости» одного обучающегося (воспитанника). Так, в учреждениях с большим количеством учащихся (воспитанников) фонд заработной платы больше. Кроме того, на объем фонда оплаты труда влияет специфика учреждений (учреждение сельской местности, индивидуальное обучение, наличие обучающихся с ОВЗ и др.) и другие факторы.</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1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Почему по итогам календарного года педагоги разных образовательных организаций (одного муниципалитета) получают премиальные выплаты разного размера, а иногда вообще их не получают?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ind w:left="5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Премия – составная часть заработной платы (ст. 129 ТК РФ). Вместе с тем согласно ст. 191 ТК РФ премия – это один из видов поощрения работника, размер и условия выплаты которого работодатель определяет с учетом совокупности обстоятельств, включая результаты экономической деятельности самой организации (наличия или отсутствия средств на выплаты премий в фонде оплаты труда), как правило премирование не является обязательной составляющей заработной платы (может не выплачиваться совсем), также Трудовым законодательством не определены минимальные и максимальные размеры премий. Работодатели самостоятельно решают все эти вопросы. При наличии представительного органа работников (профкома) работодатель должен принять решение с учетом его мнения. В конце календарного года премирование работников может производится, а может нет. В случае произведении премирования работников, размер премий может варьироваться, как в рамках одной организации (при том, что конкретный размер премий не поименован в трудовом договоре работника), так и в различных организациях одного муниципалитета (в некоторых отсутствовать полностью). Это становится возможным прежде всего по причине разной величины фондов заработной платы, эффективности распределения фондов (большее или меньшее количество работников, иное), произведения стимулирования (премирования) работников в течение всего года, иных объективных причин, которые надо рассматривать непосредственно применимо к конкретной жизненной ситуации. Аналогичного мнения придерживается Верховный суд РФ, если в положении об оплате труда указано, что выплата премий зависит от результата работы, она не входит в перечень гарантированных выплат. Ни в одном из этих документов нет речи о том, что ежемесячная премия – обязательная часть заработной платы, отмечается в определении ВС РФ. Этого же мнения придерживаются иные судебные инстанции и контролирующие органы государства.</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1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Какие изменения произошли в законодательстве РФ, повлекшие новый порядок выплаты части заработной платы за первую половину месяца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shd w:fill="ffffff" w:val="clea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Налоговый агент, это лицо, которое рассчитывает налог за налогоплательщика, удерживает у него соответствующую сумму и перечисляет её в бюджет (ст. 24 НК РФ). Работодатели – образовательные организации по отношению к налогоплательщикам – работникам являются налоговыми агентами. Согласно п. 4 ст. 226 НК РФ </w:t>
      </w:r>
      <w:r w:rsidDel="00000000" w:rsidR="00000000" w:rsidRPr="00000000">
        <w:rPr>
          <w:rFonts w:ascii="Times New Roman" w:cs="Times New Roman" w:eastAsia="Times New Roman" w:hAnsi="Times New Roman"/>
          <w:sz w:val="24"/>
          <w:szCs w:val="24"/>
          <w:rtl w:val="0"/>
        </w:rPr>
        <w:t xml:space="preserve">налоговые агенты обязаны удержать начисленную сумму налога непосредственно из доходов налогоплательщика при их фактической выплате.</w:t>
      </w:r>
    </w:p>
    <w:p w:rsidR="00000000" w:rsidDel="00000000" w:rsidP="00000000" w:rsidRDefault="00000000" w:rsidRPr="00000000" w14:paraId="00000008">
      <w:pPr>
        <w:shd w:fill="ffffff" w:val="clea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Федеральным законом от 14.07.2022 г. № 263-ФЗ «О внесении изменений в части первую и вторую Налогового кодекса Российской Федерации», который вступает в силу с 01.01.2023 г.), изменены расчетный период по НДФЛ, сроки уплаты НДФЛ налоговыми агентами, сроки сдачи расчета по форме 6-НДФЛ.</w:t>
      </w:r>
    </w:p>
    <w:p w:rsidR="00000000" w:rsidDel="00000000" w:rsidP="00000000" w:rsidRDefault="00000000" w:rsidRPr="00000000" w14:paraId="00000009">
      <w:pPr>
        <w:shd w:fill="ffffff" w:val="clea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Расчетным периодом считается не месяц, а период с 23-го числа предыдущего месяца по 22-е число текущего месяца, НДФЛ перечисляется в бюджет не позднее 28 числа каждого месяца.</w:t>
      </w:r>
    </w:p>
    <w:p w:rsidR="00000000" w:rsidDel="00000000" w:rsidP="00000000" w:rsidRDefault="00000000" w:rsidRPr="00000000" w14:paraId="0000000A">
      <w:pPr>
        <w:shd w:fill="ffffff" w:val="clear"/>
        <w:spacing w:after="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если налог удержан с 23-го числа предыдущего месяца по 22-е число текущего, он должен быть перечислен не позднее 28-го числа текущего. Это правило распространяется, если НДФЛ удержан с 23 января по 22 декабря.</w:t>
      </w:r>
    </w:p>
    <w:p w:rsidR="00000000" w:rsidDel="00000000" w:rsidP="00000000" w:rsidRDefault="00000000" w:rsidRPr="00000000" w14:paraId="0000000B">
      <w:pPr>
        <w:shd w:fill="ffffff" w:val="clear"/>
        <w:spacing w:after="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случаях если НДФЛ удержан за период с 1 по 22 января, он должен быть оплачен не позднее 28 января; за период с 23 по 31 декабря - не позднее последнего рабочего дня календарного года.</w:t>
      </w:r>
    </w:p>
    <w:p w:rsidR="00000000" w:rsidDel="00000000" w:rsidP="00000000" w:rsidRDefault="00000000" w:rsidRPr="00000000" w14:paraId="0000000C">
      <w:pPr>
        <w:shd w:fill="ffffff" w:val="clear"/>
        <w:spacing w:after="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Следует обратить внимание на особый порядок уплаты НДФЛ с декабрьской зарплаты за 2022 год:</w:t>
      </w:r>
    </w:p>
    <w:p w:rsidR="00000000" w:rsidDel="00000000" w:rsidP="00000000" w:rsidRDefault="00000000" w:rsidRPr="00000000" w14:paraId="0000000D">
      <w:pPr>
        <w:shd w:fill="ffffff" w:val="clea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период по 31.12.2022 г. налог перечисляется в бюджет не позднее следующего рабочего дня, т. е. не позднее 09.01.2023 года,</w:t>
      </w:r>
    </w:p>
    <w:p w:rsidR="00000000" w:rsidDel="00000000" w:rsidP="00000000" w:rsidRDefault="00000000" w:rsidRPr="00000000" w14:paraId="0000000E">
      <w:pPr>
        <w:shd w:fill="ffffff" w:val="clea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период с 1 по 22.01.2023 г. - не позднее 30.01.2023 г. (т. к. 28 января - выходной день).</w:t>
      </w:r>
    </w:p>
    <w:p w:rsidR="00000000" w:rsidDel="00000000" w:rsidP="00000000" w:rsidRDefault="00000000" w:rsidRPr="00000000" w14:paraId="0000000F">
      <w:pPr>
        <w:shd w:fill="ffffff" w:val="clear"/>
        <w:spacing w:after="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Датой фактического получения дохода за труд, выплаченного в денежной форме, считается день выплаты заработной платы.</w:t>
      </w:r>
    </w:p>
    <w:p w:rsidR="00000000" w:rsidDel="00000000" w:rsidP="00000000" w:rsidRDefault="00000000" w:rsidRPr="00000000" w14:paraId="00000010">
      <w:pPr>
        <w:shd w:fill="ffffff" w:val="clear"/>
        <w:ind w:firstLine="53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 2023 года НДФЛ придется удерживать как при выплате аванса, так и при выплате заработной платы по итогам месяца.</w:t>
      </w:r>
    </w:p>
    <w:p w:rsidR="00000000" w:rsidDel="00000000" w:rsidP="00000000" w:rsidRDefault="00000000" w:rsidRPr="00000000" w14:paraId="00000011">
      <w:pPr>
        <w:shd w:fill="ffffff" w:val="clea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Также с 2023 года отменяется положение п. 9 ст. 226 НК РФ, которое запрещает платить НДФЛ налоговым агентам за свой счет. Значит, перечислять средства на ЕНС в счет предстоящей уплаты НДФЛ можно будет до удержания налога у налогоплательщика.</w:t>
      </w:r>
      <w:r w:rsidDel="00000000" w:rsidR="00000000" w:rsidRPr="00000000">
        <w:rPr>
          <w:rtl w:val="0"/>
        </w:rPr>
      </w:r>
    </w:p>
    <w:p w:rsidR="00000000" w:rsidDel="00000000" w:rsidP="00000000" w:rsidRDefault="00000000" w:rsidRPr="00000000" w14:paraId="00000012">
      <w:pPr>
        <w:ind w:left="5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1"/>
          <w:sz w:val="24"/>
          <w:szCs w:val="24"/>
          <w:rtl w:val="0"/>
        </w:rPr>
        <w:t xml:space="preserve">. Какие нормы действующего законодательства устанавливают порядок индексации заработной платы?</w:t>
      </w:r>
    </w:p>
    <w:p w:rsidR="00000000" w:rsidDel="00000000" w:rsidP="00000000" w:rsidRDefault="00000000" w:rsidRPr="00000000" w14:paraId="00000013">
      <w:pPr>
        <w:ind w:left="5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соответствии со статьей 134 Трудового кодекса Российской Федерации повышения уровня реального содержания заработной платы включает индексацию заработной платы в связи с ростом потребительских цен на товары и услуги. В настоящее время трудовое законодательство Российской Федерации не предусматривает единого для всех работников способа индексации заработной платы. Законодатель устанавливает лишь обязанность работодателя осуществлять индексацию. Правила индексации заработной платы определяются в зависимости от источника финансирования организаций либо законами и подзаконными нормативными актами (для государственных органов, органов местного самоуправления, государственных и муниципальных учреждений).</w:t>
      </w:r>
    </w:p>
    <w:p w:rsidR="00000000" w:rsidDel="00000000" w:rsidP="00000000" w:rsidRDefault="00000000" w:rsidRPr="00000000" w14:paraId="00000014">
      <w:pPr>
        <w:ind w:left="5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5. Обязательно ли у педагогического работника вырастит заработная плата при повышении МРОТ?</w:t>
      </w:r>
    </w:p>
    <w:p w:rsidR="00000000" w:rsidDel="00000000" w:rsidP="00000000" w:rsidRDefault="00000000" w:rsidRPr="00000000" w14:paraId="00000015">
      <w:pPr>
        <w:ind w:left="50" w:firstLine="0"/>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Нет. После повышения МРОТ в обязательном порядке необходимо проиндексировать зарплату только тех работников, у которых она ниже МРОТ при полной занятости (или пропорционально нагрузке). По мнению Конституционного суда, индексация является обязанностью всех работодателей, так как это государственная гарантия по оплате труда. Если заработная плата работника изначально выше МРОТ она может не измениться.</w:t>
      </w:r>
    </w:p>
    <w:sectPr>
      <w:pgSz w:h="16838" w:w="11906" w:orient="portrait"/>
      <w:pgMar w:bottom="1134" w:top="1134" w:left="567" w:right="28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10" w:hanging="360"/>
      </w:pPr>
      <w:rPr/>
    </w:lvl>
    <w:lvl w:ilvl="1">
      <w:start w:val="1"/>
      <w:numFmt w:val="lowerLetter"/>
      <w:lvlText w:val="%2."/>
      <w:lvlJc w:val="left"/>
      <w:pPr>
        <w:ind w:left="1130" w:hanging="360"/>
      </w:pPr>
      <w:rPr/>
    </w:lvl>
    <w:lvl w:ilvl="2">
      <w:start w:val="1"/>
      <w:numFmt w:val="lowerRoman"/>
      <w:lvlText w:val="%3."/>
      <w:lvlJc w:val="right"/>
      <w:pPr>
        <w:ind w:left="1850" w:hanging="180"/>
      </w:pPr>
      <w:rPr/>
    </w:lvl>
    <w:lvl w:ilvl="3">
      <w:start w:val="1"/>
      <w:numFmt w:val="decimal"/>
      <w:lvlText w:val="%4."/>
      <w:lvlJc w:val="left"/>
      <w:pPr>
        <w:ind w:left="2570" w:hanging="360"/>
      </w:pPr>
      <w:rPr/>
    </w:lvl>
    <w:lvl w:ilvl="4">
      <w:start w:val="1"/>
      <w:numFmt w:val="lowerLetter"/>
      <w:lvlText w:val="%5."/>
      <w:lvlJc w:val="left"/>
      <w:pPr>
        <w:ind w:left="3290" w:hanging="360"/>
      </w:pPr>
      <w:rPr/>
    </w:lvl>
    <w:lvl w:ilvl="5">
      <w:start w:val="1"/>
      <w:numFmt w:val="lowerRoman"/>
      <w:lvlText w:val="%6."/>
      <w:lvlJc w:val="right"/>
      <w:pPr>
        <w:ind w:left="4010" w:hanging="180"/>
      </w:pPr>
      <w:rPr/>
    </w:lvl>
    <w:lvl w:ilvl="6">
      <w:start w:val="1"/>
      <w:numFmt w:val="decimal"/>
      <w:lvlText w:val="%7."/>
      <w:lvlJc w:val="left"/>
      <w:pPr>
        <w:ind w:left="4730" w:hanging="360"/>
      </w:pPr>
      <w:rPr/>
    </w:lvl>
    <w:lvl w:ilvl="7">
      <w:start w:val="1"/>
      <w:numFmt w:val="lowerLetter"/>
      <w:lvlText w:val="%8."/>
      <w:lvlJc w:val="left"/>
      <w:pPr>
        <w:ind w:left="5450" w:hanging="360"/>
      </w:pPr>
      <w:rPr/>
    </w:lvl>
    <w:lvl w:ilvl="8">
      <w:start w:val="1"/>
      <w:numFmt w:val="lowerRoman"/>
      <w:lvlText w:val="%9."/>
      <w:lvlJc w:val="right"/>
      <w:pPr>
        <w:ind w:left="617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