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Верх-Исетская районная организация Профсоюза работников народного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-775334</wp:posOffset>
            </wp:positionH>
            <wp:positionV relativeFrom="paragraph">
              <wp:posOffset>5715</wp:posOffset>
            </wp:positionV>
            <wp:extent cx="800100" cy="725805"/>
            <wp:effectExtent b="0" l="0" r="0" t="0"/>
            <wp:wrapSquare wrapText="bothSides" distB="0" distT="0" distL="114300" distR="114300"/>
            <wp:docPr descr="знак" id="1" name="image1.png"/>
            <a:graphic>
              <a:graphicData uri="http://schemas.openxmlformats.org/drawingml/2006/picture">
                <pic:pic>
                  <pic:nvPicPr>
                    <pic:cNvPr descr="знак" id="0" name="image1.png"/>
                    <pic:cNvPicPr preferRelativeResize="0"/>
                  </pic:nvPicPr>
                  <pic:blipFill>
                    <a:blip r:embed="rId6"/>
                    <a:srcRect b="9673" l="9673" r="6401" t="640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5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образования и науки РФ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ИНФОРМАЦИОННЫЙ БЮЛЛЕТЕНЬ № 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«Целевые заемные средства членам Профсоюза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от Верх-Исетской районной организации Профсоюза работников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народного образования и науки РФ»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 образовательного учреждения. </w:t>
      </w:r>
    </w:p>
    <w:p w:rsidR="00000000" w:rsidDel="00000000" w:rsidP="00000000" w:rsidRDefault="00000000" w:rsidRPr="00000000" w14:paraId="0000000C">
      <w:pPr>
        <w:shd w:fill="ffffff" w:val="clear"/>
        <w:tabs>
          <w:tab w:val="left" w:pos="900"/>
        </w:tabs>
        <w:ind w:right="-42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-714374</wp:posOffset>
            </wp:positionH>
            <wp:positionV relativeFrom="paragraph">
              <wp:posOffset>69850</wp:posOffset>
            </wp:positionV>
            <wp:extent cx="2316480" cy="162306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62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hd w:fill="ffffff" w:val="clear"/>
        <w:tabs>
          <w:tab w:val="left" w:pos="900"/>
        </w:tabs>
        <w:ind w:right="-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Заемные средства в зависимости от продолжительности профсоюзного стажа предоставляются в следующих размерах:</w:t>
      </w:r>
    </w:p>
    <w:p w:rsidR="00000000" w:rsidDel="00000000" w:rsidP="00000000" w:rsidRDefault="00000000" w:rsidRPr="00000000" w14:paraId="0000000F">
      <w:pPr>
        <w:shd w:fill="ffffff" w:val="clear"/>
        <w:tabs>
          <w:tab w:val="left" w:pos="900"/>
        </w:tabs>
        <w:ind w:right="-426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4820"/>
        <w:gridCol w:w="5528"/>
        <w:tblGridChange w:id="0">
          <w:tblGrid>
            <w:gridCol w:w="567"/>
            <w:gridCol w:w="4820"/>
            <w:gridCol w:w="5528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Профсоюзный стаж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Сумма займа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</w:tabs>
              <w:spacing w:after="0" w:before="0" w:line="240" w:lineRule="auto"/>
              <w:ind w:left="0" w:right="-4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 3 до 5 лет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8 000 тыс. руб.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</w:tabs>
              <w:spacing w:after="0" w:before="0" w:line="240" w:lineRule="auto"/>
              <w:ind w:left="0" w:right="-4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 5 до 8 лет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12 000 тыс. руб.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 8 до 10 лет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15 000 тыс. руб.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362e48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2e48"/>
                <w:sz w:val="28"/>
                <w:szCs w:val="28"/>
                <w:highlight w:val="white"/>
                <w:rtl w:val="0"/>
              </w:rPr>
              <w:t xml:space="preserve">при стаже более 10 лет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20 000 тыс. руб.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Основанием для получения целевых заемных средств являются: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-письменное заявление члена Профсоюза;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-рекомендация-поручительство первичной профсоюзной организации образовательного учреждения;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-постановление президиума  районного комитета Профсоюза о выдаче заемных средств;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-заключение договора целевого займа.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Целевые заемные средства предоставляются на срок до 1 года.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Выплата заёмных средств конкретному лицу производится в Верх-Исетской районной организации Профсоюза по платежным документам согласно порядку ведения кассовых операций. Погашение полученных заемных средств производится путем сдачи наличных денежных средств в кассу или расчетный счет районного комитета Профсоюза.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Платежи в погашение целевого займа производятся в сроки, установленные в договоре, за нарушение которых наступает ответственность, предусмотренная договором и законодательством.</w:t>
      </w:r>
    </w:p>
    <w:sectPr>
      <w:pgSz w:h="16838" w:w="11906" w:orient="portrait"/>
      <w:pgMar w:bottom="0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